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D0E" w:rsidRPr="004A6200" w:rsidRDefault="006F7D0E" w:rsidP="006F7D0E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A6200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6F7D0E" w:rsidRPr="004A6200" w:rsidRDefault="006F7D0E" w:rsidP="006F7D0E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AA6B65" w:rsidRPr="00FB6B8C" w:rsidRDefault="006F7D0E" w:rsidP="006F7D0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июн</w:t>
      </w:r>
      <w:r w:rsidRPr="004A6200">
        <w:rPr>
          <w:rFonts w:ascii="Times New Roman" w:hAnsi="Times New Roman" w:cs="Times New Roman"/>
          <w:bCs/>
          <w:sz w:val="30"/>
          <w:szCs w:val="30"/>
        </w:rPr>
        <w:t>ь 2024 г.)</w:t>
      </w:r>
    </w:p>
    <w:p w:rsidR="00AA6B65" w:rsidRPr="00FB6B8C" w:rsidRDefault="00AA6B65" w:rsidP="00AA6B65">
      <w:pPr>
        <w:spacing w:after="0" w:line="280" w:lineRule="exact"/>
        <w:rPr>
          <w:rFonts w:ascii="Times New Roman" w:eastAsia="Calibri" w:hAnsi="Times New Roman" w:cs="Times New Roman"/>
          <w:sz w:val="30"/>
          <w:szCs w:val="30"/>
          <w:lang w:val="ru-RU"/>
        </w:rPr>
      </w:pPr>
    </w:p>
    <w:p w:rsidR="00AA6B65" w:rsidRPr="00FB6B8C" w:rsidRDefault="00AA6B65" w:rsidP="00AA6B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val="ru-RU"/>
        </w:rPr>
      </w:pPr>
      <w:r w:rsidRPr="00FB6B8C">
        <w:rPr>
          <w:rFonts w:ascii="Times New Roman" w:eastAsia="Calibri" w:hAnsi="Times New Roman" w:cs="Times New Roman"/>
          <w:b/>
          <w:sz w:val="30"/>
          <w:szCs w:val="30"/>
          <w:lang w:val="ru-RU"/>
        </w:rPr>
        <w:t>Добровольное страхование дополнительной накопительной пенсии</w:t>
      </w:r>
      <w:r w:rsidRPr="00FB6B8C">
        <w:rPr>
          <w:rFonts w:ascii="Times New Roman" w:eastAsia="Calibri" w:hAnsi="Times New Roman" w:cs="Times New Roman"/>
          <w:b/>
          <w:sz w:val="30"/>
          <w:szCs w:val="30"/>
        </w:rPr>
        <w:t> –</w:t>
      </w:r>
      <w:r w:rsidRPr="00FB6B8C">
        <w:rPr>
          <w:rFonts w:ascii="Times New Roman" w:eastAsia="Calibri" w:hAnsi="Times New Roman" w:cs="Times New Roman"/>
          <w:b/>
          <w:sz w:val="30"/>
          <w:szCs w:val="30"/>
          <w:lang w:val="ru-RU"/>
        </w:rPr>
        <w:t xml:space="preserve"> доступный способ повысить доход в пенсионном возрасте </w:t>
      </w:r>
    </w:p>
    <w:p w:rsidR="00B53DE1" w:rsidRPr="00FB6B8C" w:rsidRDefault="00B53DE1" w:rsidP="00B53DE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B642D3" w:rsidRPr="00FB6B8C" w:rsidRDefault="00F1659E" w:rsidP="00B230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B6B8C">
        <w:rPr>
          <w:rFonts w:ascii="Times New Roman" w:hAnsi="Times New Roman" w:cs="Times New Roman"/>
          <w:sz w:val="30"/>
          <w:szCs w:val="30"/>
        </w:rPr>
        <w:t>В основе государственной политики Республики Беларусь</w:t>
      </w:r>
      <w:r w:rsidR="00B642D3" w:rsidRPr="00FB6B8C">
        <w:rPr>
          <w:rFonts w:ascii="Times New Roman" w:hAnsi="Times New Roman" w:cs="Times New Roman"/>
          <w:sz w:val="30"/>
          <w:szCs w:val="30"/>
        </w:rPr>
        <w:t xml:space="preserve"> – </w:t>
      </w:r>
      <w:r w:rsidRPr="00FB6B8C">
        <w:rPr>
          <w:rFonts w:ascii="Times New Roman" w:hAnsi="Times New Roman" w:cs="Times New Roman"/>
          <w:sz w:val="30"/>
          <w:szCs w:val="30"/>
        </w:rPr>
        <w:t>всегда</w:t>
      </w:r>
      <w:r w:rsidR="00C503DA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FB6B8C">
        <w:rPr>
          <w:rFonts w:ascii="Times New Roman" w:hAnsi="Times New Roman" w:cs="Times New Roman"/>
          <w:sz w:val="30"/>
          <w:szCs w:val="30"/>
        </w:rPr>
        <w:t>человек</w:t>
      </w:r>
      <w:r w:rsidR="00B642D3" w:rsidRPr="00FB6B8C">
        <w:rPr>
          <w:rFonts w:ascii="Times New Roman" w:hAnsi="Times New Roman" w:cs="Times New Roman"/>
          <w:sz w:val="30"/>
          <w:szCs w:val="30"/>
        </w:rPr>
        <w:t>. Социальн</w:t>
      </w:r>
      <w:r w:rsidR="00917CD2" w:rsidRPr="00FB6B8C">
        <w:rPr>
          <w:rFonts w:ascii="Times New Roman" w:hAnsi="Times New Roman" w:cs="Times New Roman"/>
          <w:sz w:val="30"/>
          <w:szCs w:val="30"/>
          <w:lang w:val="ru-RU"/>
        </w:rPr>
        <w:t>ая</w:t>
      </w:r>
      <w:r w:rsidR="0027548D" w:rsidRPr="00FB6B8C">
        <w:rPr>
          <w:rFonts w:ascii="Times New Roman" w:hAnsi="Times New Roman" w:cs="Times New Roman"/>
          <w:sz w:val="30"/>
          <w:szCs w:val="30"/>
          <w:lang w:val="ru-RU"/>
        </w:rPr>
        <w:t xml:space="preserve"> защита и </w:t>
      </w:r>
      <w:r w:rsidR="00B642D3" w:rsidRPr="00FB6B8C">
        <w:rPr>
          <w:rFonts w:ascii="Times New Roman" w:hAnsi="Times New Roman" w:cs="Times New Roman"/>
          <w:sz w:val="30"/>
          <w:szCs w:val="30"/>
        </w:rPr>
        <w:t>поддержка белорусов старшего поколения в любых условиях, при любых обстоятельствах – важнейший приори</w:t>
      </w:r>
      <w:r w:rsidR="00B642D3" w:rsidRPr="00FB6B8C">
        <w:rPr>
          <w:rFonts w:ascii="Times New Roman" w:hAnsi="Times New Roman" w:cs="Times New Roman"/>
          <w:sz w:val="30"/>
          <w:szCs w:val="30"/>
          <w:lang w:val="ru-RU"/>
        </w:rPr>
        <w:t>тет</w:t>
      </w:r>
      <w:r w:rsidR="000A4FAC" w:rsidRPr="00FB6B8C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5725A7" w:rsidRPr="00FB6B8C" w:rsidRDefault="005725A7" w:rsidP="00572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FB6B8C">
        <w:rPr>
          <w:rFonts w:ascii="Times New Roman" w:hAnsi="Times New Roman" w:cs="Times New Roman"/>
          <w:sz w:val="30"/>
          <w:szCs w:val="30"/>
          <w:shd w:val="clear" w:color="auto" w:fill="FFFFFF"/>
        </w:rPr>
        <w:t>В Беларуси действует пенсионная модель, основанная на страховых принципах.</w:t>
      </w:r>
      <w:r w:rsidR="00C503DA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</w:t>
      </w:r>
      <w:r w:rsidRPr="00FB6B8C">
        <w:rPr>
          <w:rFonts w:ascii="Times New Roman" w:hAnsi="Times New Roman" w:cs="Times New Roman"/>
          <w:sz w:val="30"/>
          <w:szCs w:val="30"/>
          <w:shd w:val="clear" w:color="auto" w:fill="FFFFFF"/>
        </w:rPr>
        <w:t>Пенсии и пособия в нашей стране выплачиваются за счет средств государственного социального страхования, которые сосредоточены в Фонде социальной защиты населения. Основа будущей пенсии – это обязательные страховые взносы работодателей и работающих граждан.</w:t>
      </w:r>
    </w:p>
    <w:p w:rsidR="00503748" w:rsidRPr="00FB6B8C" w:rsidRDefault="00503748" w:rsidP="00572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Справочно: средний размер пенсии 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по возрасту </w:t>
      </w:r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неработающего пенсионера 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по Гомельской области на 1 мая 2024 составляет 804,60 руб</w:t>
      </w:r>
      <w:r w:rsidR="000C41C1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.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, минимальной трудовой пенсии (при 25 годах у мужчин и 20 у женщин) – 438,31 рублей.</w:t>
      </w:r>
    </w:p>
    <w:p w:rsidR="0014191C" w:rsidRPr="0014191C" w:rsidRDefault="005725A7" w:rsidP="00E56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</w:pPr>
      <w:r w:rsidRPr="005725A7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>В</w:t>
      </w:r>
      <w:r w:rsidR="0014191C" w:rsidRPr="0014191C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 xml:space="preserve"> большинстве стран действует смешанная пенсионная система, в которой доминирует либо солидарная, либо накопительная, т</w:t>
      </w:r>
      <w:r w:rsidR="00B52E67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>о есть</w:t>
      </w:r>
      <w:r w:rsidR="0014191C" w:rsidRPr="0014191C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 xml:space="preserve"> система состоит из двух частей: государственной и накопительной. При этом, как показывает международная практика, большая часть будущей пенсии в итоге состоит из выплат именно индивидуальной пенсии, а государственные выплаты — это чаще всего гарантированный минимум.</w:t>
      </w:r>
    </w:p>
    <w:p w:rsidR="00C062E1" w:rsidRPr="00471A5A" w:rsidRDefault="000A7FA4" w:rsidP="00C062E1">
      <w:pPr>
        <w:widowControl w:val="0"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Введенный </w:t>
      </w:r>
      <w:r w:rsidR="0014191C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с 1 октября 2022 года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Указ </w:t>
      </w:r>
      <w:r w:rsidR="0014191C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Президента Республики Беларусь от 27.09.2021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№ 367 </w:t>
      </w:r>
      <w:r w:rsidRPr="00297FAB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«О добровольном страховании дополнительной накопительной пенсии»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>(</w:t>
      </w:r>
      <w:r w:rsidRPr="0014191C">
        <w:rPr>
          <w:rFonts w:ascii="Times New Roman" w:hAnsi="Times New Roman" w:cs="Times New Roman"/>
          <w:spacing w:val="-6"/>
          <w:sz w:val="30"/>
          <w:szCs w:val="30"/>
          <w:lang w:val="ru-RU"/>
        </w:rPr>
        <w:t>далее – Указ)</w:t>
      </w:r>
      <w:r w:rsidR="0014191C" w:rsidRPr="001419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дает еще одну возможность работающему человеку позаботиться о своем пенсионном будущем</w:t>
      </w:r>
      <w:r w:rsidR="00C062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, </w:t>
      </w:r>
      <w:r w:rsidR="00C062E1" w:rsidRPr="00C062E1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  <w:lang w:val="ru-RU"/>
        </w:rPr>
        <w:t>не затрагивая</w:t>
      </w:r>
      <w:r w:rsidR="00C062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 </w:t>
      </w:r>
      <w:r w:rsidR="00C062E1" w:rsidRPr="00297FAB">
        <w:rPr>
          <w:rFonts w:ascii="Times New Roman" w:hAnsi="Times New Roman" w:cs="Times New Roman"/>
          <w:b/>
          <w:sz w:val="30"/>
          <w:szCs w:val="30"/>
          <w:lang w:val="ru-RU"/>
        </w:rPr>
        <w:t>государственные обязательства по солидарной пенсионной системе</w:t>
      </w:r>
      <w:r w:rsidR="00C062E1" w:rsidRPr="00297FA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="00C062E1" w:rsidRPr="00471A5A">
        <w:rPr>
          <w:rFonts w:ascii="Times New Roman" w:hAnsi="Times New Roman" w:cs="Times New Roman"/>
          <w:sz w:val="30"/>
          <w:szCs w:val="30"/>
          <w:lang w:val="ru-RU"/>
        </w:rPr>
        <w:t>Все гарантии государства по трудовым пенсиям и их повышению будут неукоснительно выполняться.</w:t>
      </w:r>
    </w:p>
    <w:p w:rsidR="00503748" w:rsidRDefault="00503748" w:rsidP="00E5676B">
      <w:pPr>
        <w:widowControl w:val="0"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В отличие от действующих </w:t>
      </w:r>
      <w:r w:rsidRPr="00472881">
        <w:rPr>
          <w:rFonts w:ascii="Times New Roman" w:hAnsi="Times New Roman" w:cs="Times New Roman"/>
          <w:sz w:val="30"/>
          <w:szCs w:val="30"/>
          <w:lang w:val="ru-RU"/>
        </w:rPr>
        <w:t>программ</w:t>
      </w:r>
      <w:r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47288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при страховании дополнительной пенсии с применением норм Указа задействуется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новый финансовый стимул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государственное софинансирование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. Оно заключается в том, что </w:t>
      </w:r>
      <w:r w:rsidR="00BC5B73">
        <w:rPr>
          <w:rFonts w:ascii="Times New Roman" w:hAnsi="Times New Roman" w:cs="Times New Roman"/>
          <w:sz w:val="30"/>
          <w:szCs w:val="30"/>
          <w:lang w:val="ru-RU"/>
        </w:rPr>
        <w:t xml:space="preserve">от </w:t>
      </w:r>
      <w:r w:rsidR="00BC5B73" w:rsidRPr="00BC5B73">
        <w:rPr>
          <w:rFonts w:ascii="Times New Roman" w:hAnsi="Times New Roman" w:cs="Times New Roman"/>
          <w:b/>
          <w:sz w:val="30"/>
          <w:szCs w:val="30"/>
          <w:lang w:val="ru-RU"/>
        </w:rPr>
        <w:t>30 до 50%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взносов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на накопительную пенсию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будет оплачена из государственных средств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1852BF" w:rsidRDefault="00D65E8C" w:rsidP="001852BF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pacing w:val="-6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Через такое весомое финансовое участие государство не только материально поддерживает работников, принявших решение в пользу </w:t>
      </w: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добровольных сбережений на старость, но и </w:t>
      </w:r>
      <w:r w:rsidRPr="00EB735E">
        <w:rPr>
          <w:rFonts w:ascii="Times New Roman" w:hAnsi="Times New Roman" w:cs="Times New Roman"/>
          <w:b/>
          <w:sz w:val="30"/>
          <w:szCs w:val="30"/>
          <w:lang w:val="ru-RU"/>
        </w:rPr>
        <w:t>подтверждает гарантированность устойчивого функционирования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новой системы дополнительного пенсионного страхования. К тому же </w:t>
      </w:r>
      <w:r w:rsidRPr="00EB735E">
        <w:rPr>
          <w:rFonts w:ascii="Times New Roman" w:hAnsi="Times New Roman" w:cs="Times New Roman"/>
          <w:b/>
          <w:sz w:val="30"/>
          <w:szCs w:val="30"/>
          <w:lang w:val="ru-RU"/>
        </w:rPr>
        <w:t xml:space="preserve">оплата части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взносов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на будущую накопительную пенсию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за счет государственных средств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делает участие в новой программе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финансово посильным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для всех категорий работников независимо от уровня их дохода.</w:t>
      </w:r>
      <w:r w:rsidR="001852BF" w:rsidRPr="001852BF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</w:t>
      </w:r>
    </w:p>
    <w:p w:rsidR="001852BF" w:rsidRPr="00E56D50" w:rsidRDefault="001852BF" w:rsidP="001852BF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</w:pPr>
      <w:r w:rsidRPr="00D51070">
        <w:rPr>
          <w:rFonts w:ascii="Times New Roman" w:hAnsi="Times New Roman" w:cs="Times New Roman"/>
          <w:spacing w:val="-6"/>
          <w:sz w:val="30"/>
          <w:szCs w:val="30"/>
          <w:lang w:val="ru-RU"/>
        </w:rPr>
        <w:t>Осуществление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добровольного страхования дополнительной накопительной пенсии Указом возложено на </w:t>
      </w:r>
      <w:r w:rsidRPr="00E56D50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>государственную страховую организацию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– </w:t>
      </w:r>
      <w:r w:rsidR="00471A5A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РУП 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«Стравита». </w:t>
      </w:r>
    </w:p>
    <w:p w:rsidR="00560F61" w:rsidRPr="00EE29C8" w:rsidRDefault="00560F61" w:rsidP="00560F61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  <w:lang w:val="ru-RU"/>
        </w:rPr>
        <w:t xml:space="preserve">Справочно: </w:t>
      </w:r>
      <w:r w:rsidRPr="00EE29C8">
        <w:rPr>
          <w:rFonts w:ascii="Times New Roman" w:hAnsi="Times New Roman"/>
          <w:bCs/>
          <w:i/>
          <w:sz w:val="24"/>
          <w:szCs w:val="24"/>
        </w:rPr>
        <w:t xml:space="preserve">По состоянию на 01.05.2024 </w:t>
      </w:r>
      <w:r w:rsidR="00FB6B8C">
        <w:rPr>
          <w:rFonts w:ascii="Times New Roman" w:hAnsi="Times New Roman"/>
          <w:bCs/>
          <w:i/>
          <w:sz w:val="24"/>
          <w:szCs w:val="24"/>
          <w:lang w:val="ru-RU"/>
        </w:rPr>
        <w:t xml:space="preserve">по республике </w:t>
      </w:r>
      <w:r w:rsidRPr="00EE29C8">
        <w:rPr>
          <w:rFonts w:ascii="Times New Roman" w:hAnsi="Times New Roman"/>
          <w:bCs/>
          <w:i/>
          <w:sz w:val="24"/>
          <w:szCs w:val="24"/>
        </w:rPr>
        <w:t>заключено 27,8 тыс. договоров страхования, в новом механизме задействовано 5,8 тыс. работодателей.</w:t>
      </w:r>
    </w:p>
    <w:p w:rsidR="00560F61" w:rsidRDefault="00560F61" w:rsidP="00560F61">
      <w:pPr>
        <w:pStyle w:val="a4"/>
      </w:pPr>
      <w:r>
        <w:rPr>
          <w:noProof/>
          <w:lang w:val="en-US" w:eastAsia="en-US"/>
        </w:rPr>
        <w:drawing>
          <wp:inline distT="0" distB="0" distL="0" distR="0" wp14:anchorId="10BD9628" wp14:editId="543649A2">
            <wp:extent cx="5324048" cy="3764916"/>
            <wp:effectExtent l="19050" t="0" r="0" b="0"/>
            <wp:docPr id="3" name="Рисунок 1" descr="Z:\01_ДОКУМЕНТЫ STRAVITA\Указ_367 пенсионное страхование\2024\ИНФОГРАФИКА\апрель 2024\Апрель_Инфографика_для презен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_ДОКУМЕНТЫ STRAVITA\Указ_367 пенсионное страхование\2024\ИНФОГРАФИКА\апрель 2024\Апрель_Инфографика_для презент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05" cy="37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3" w:rsidRPr="00293429" w:rsidRDefault="00BC5B73" w:rsidP="007F7942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Кому подходит механизм дополнительного пенсионного накопительного страхования с участием государства?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Программа направлена на всех работающих граждан Республики Беларусь, за которых уплачиваются обязательные страховые взносы в Ф</w:t>
      </w:r>
      <w:r>
        <w:rPr>
          <w:rFonts w:ascii="Times New Roman" w:hAnsi="Times New Roman"/>
          <w:sz w:val="30"/>
          <w:szCs w:val="30"/>
          <w:lang w:val="ru-RU"/>
        </w:rPr>
        <w:t>онд</w:t>
      </w:r>
      <w:r w:rsidRPr="00293429">
        <w:rPr>
          <w:rFonts w:ascii="Times New Roman" w:hAnsi="Times New Roman"/>
          <w:sz w:val="30"/>
          <w:szCs w:val="30"/>
        </w:rPr>
        <w:t>. На дату начала срока страхования, до достижения общеустановленного пенсионного возраста работнику должно оставаться не менее 3 лет.</w:t>
      </w:r>
    </w:p>
    <w:p w:rsidR="00BC5B73" w:rsidRPr="00293429" w:rsidRDefault="00BC5B73" w:rsidP="00BC5B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ab/>
        <w:t xml:space="preserve">Граждане, которым до пенсионного возраста остается менее 3 лет; инвалиды I или II группы; самозанятые и индивидуальные предприниматели, которые не имеют иного работодателя, а также работники, работодатели которых находятся в процессе ликвидации (прекращения деятельности) или банкротства, не могут воспользоваться данным механизмом накопления </w:t>
      </w:r>
      <w:r w:rsidRPr="00293429">
        <w:rPr>
          <w:rFonts w:ascii="Times New Roman" w:hAnsi="Times New Roman"/>
          <w:sz w:val="30"/>
          <w:szCs w:val="30"/>
        </w:rPr>
        <w:lastRenderedPageBreak/>
        <w:t>денежных средств. Для</w:t>
      </w:r>
      <w:r w:rsidR="00471A5A">
        <w:rPr>
          <w:rFonts w:ascii="Times New Roman" w:hAnsi="Times New Roman"/>
          <w:sz w:val="30"/>
          <w:szCs w:val="30"/>
          <w:lang w:val="ru-RU"/>
        </w:rPr>
        <w:t xml:space="preserve"> них </w:t>
      </w:r>
      <w:r w:rsidRPr="00293429">
        <w:rPr>
          <w:rFonts w:ascii="Times New Roman" w:hAnsi="Times New Roman"/>
          <w:sz w:val="30"/>
          <w:szCs w:val="30"/>
        </w:rPr>
        <w:t>существует возможность стать участником одной из классических программ пенсионного страхования</w:t>
      </w:r>
      <w:r>
        <w:rPr>
          <w:rFonts w:ascii="Times New Roman" w:hAnsi="Times New Roman"/>
          <w:sz w:val="30"/>
          <w:szCs w:val="30"/>
          <w:lang w:val="ru-RU"/>
        </w:rPr>
        <w:t xml:space="preserve">, в том числе </w:t>
      </w:r>
      <w:r w:rsidRPr="00293429">
        <w:rPr>
          <w:rFonts w:ascii="Times New Roman" w:hAnsi="Times New Roman"/>
          <w:sz w:val="30"/>
          <w:szCs w:val="30"/>
        </w:rPr>
        <w:t xml:space="preserve">государственного предприятия «Стравита». </w:t>
      </w:r>
    </w:p>
    <w:p w:rsidR="00AA4086" w:rsidRDefault="00AA4086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Какие преимущества механизма</w:t>
      </w:r>
    </w:p>
    <w:p w:rsidR="00BC5B73" w:rsidRPr="0083664B" w:rsidRDefault="00BC5B73" w:rsidP="00BC5B73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83664B">
        <w:rPr>
          <w:rFonts w:ascii="Times New Roman" w:hAnsi="Times New Roman"/>
          <w:b/>
          <w:i/>
          <w:sz w:val="30"/>
          <w:szCs w:val="30"/>
        </w:rPr>
        <w:t xml:space="preserve">Для работника: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страховые взносы работника преумножаются за счет отчислений работодателя;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 xml:space="preserve">работник </w:t>
      </w:r>
      <w:r w:rsidRPr="00293429">
        <w:rPr>
          <w:rFonts w:ascii="Times New Roman" w:hAnsi="Times New Roman"/>
          <w:sz w:val="30"/>
          <w:szCs w:val="30"/>
        </w:rPr>
        <w:t xml:space="preserve">может воспользоваться льготой по подоходному налогу от суммы страхового взноса; 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трудовой стаж работника не влияет на право получения дополнительной пенсии;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сумма накоплений увеличивается за счет доходности на уровне ставки рефинансирования Национального банка Республики Беларусь и страхового бонуса (в том числе во время выплаты накопительной пенсии);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перечисление страховых взносов осуществляется работодателем;</w:t>
      </w:r>
    </w:p>
    <w:p w:rsidR="00BC5B73" w:rsidRPr="0057238D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в программу можно включить несколько работодателей</w:t>
      </w:r>
      <w:r>
        <w:rPr>
          <w:rFonts w:ascii="Times New Roman" w:hAnsi="Times New Roman"/>
          <w:sz w:val="30"/>
          <w:szCs w:val="30"/>
        </w:rPr>
        <w:t>;</w:t>
      </w:r>
    </w:p>
    <w:p w:rsidR="00BC5B73" w:rsidRPr="0057238D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8F146B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>накопительная пенсия наследуется.</w:t>
      </w:r>
    </w:p>
    <w:p w:rsidR="00BC5B73" w:rsidRPr="0083664B" w:rsidRDefault="00BC5B73" w:rsidP="00BC5B73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83664B">
        <w:rPr>
          <w:rFonts w:ascii="Times New Roman" w:hAnsi="Times New Roman"/>
          <w:b/>
          <w:i/>
          <w:sz w:val="30"/>
          <w:szCs w:val="30"/>
        </w:rPr>
        <w:t xml:space="preserve">Для работодателя: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не тратит собственные денежные средства. Происходит перераспределение взноса на пенсионное страхование, который уплачивает работодатель ежемесячно в бюджет Ф</w:t>
      </w:r>
      <w:r w:rsidR="0083664B">
        <w:rPr>
          <w:rFonts w:ascii="Times New Roman" w:hAnsi="Times New Roman"/>
          <w:sz w:val="30"/>
          <w:szCs w:val="30"/>
        </w:rPr>
        <w:t>онда</w:t>
      </w:r>
      <w:r w:rsidRPr="00293429">
        <w:rPr>
          <w:rFonts w:ascii="Times New Roman" w:hAnsi="Times New Roman"/>
          <w:sz w:val="30"/>
          <w:szCs w:val="30"/>
        </w:rPr>
        <w:t>. Если работник участвует в программе, то денежные средства работодателя, которые отчисляются по договору страхования, вычитаются из взноса в Ф</w:t>
      </w:r>
      <w:r>
        <w:rPr>
          <w:rFonts w:ascii="Times New Roman" w:hAnsi="Times New Roman"/>
          <w:sz w:val="30"/>
          <w:szCs w:val="30"/>
        </w:rPr>
        <w:t>онд</w:t>
      </w:r>
      <w:r w:rsidRPr="00293429">
        <w:rPr>
          <w:rFonts w:ascii="Times New Roman" w:hAnsi="Times New Roman"/>
          <w:sz w:val="30"/>
          <w:szCs w:val="30"/>
        </w:rPr>
        <w:t>, соответственно, вместо обязательных 28% работодатель перечислит в Ф</w:t>
      </w:r>
      <w:r>
        <w:rPr>
          <w:rFonts w:ascii="Times New Roman" w:hAnsi="Times New Roman"/>
          <w:sz w:val="30"/>
          <w:szCs w:val="30"/>
        </w:rPr>
        <w:t>онд</w:t>
      </w:r>
      <w:r w:rsidRPr="00293429">
        <w:rPr>
          <w:rFonts w:ascii="Times New Roman" w:hAnsi="Times New Roman"/>
          <w:sz w:val="30"/>
          <w:szCs w:val="30"/>
        </w:rPr>
        <w:t xml:space="preserve"> 25% (при тарифе работника свыше или равном 3%), которые в последующем при необходимости возмещаются из республиканского бюджета. Как итог – трудовая пенсия не уменьшается и работодатель не несет дополнительной нагрузки.</w:t>
      </w:r>
    </w:p>
    <w:p w:rsidR="007F7942" w:rsidRDefault="007F7942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С чего нужно начать оформление договора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Договор страхования можно заключить как в личном кабинете онлайн (на сайте </w:t>
      </w:r>
      <w:r w:rsidRPr="00293429">
        <w:rPr>
          <w:rFonts w:ascii="Times New Roman" w:hAnsi="Times New Roman"/>
          <w:sz w:val="30"/>
          <w:szCs w:val="30"/>
          <w:lang w:val="en-US"/>
        </w:rPr>
        <w:t>stravita</w:t>
      </w:r>
      <w:r w:rsidRPr="00293429">
        <w:rPr>
          <w:rFonts w:ascii="Times New Roman" w:hAnsi="Times New Roman"/>
          <w:sz w:val="30"/>
          <w:szCs w:val="30"/>
        </w:rPr>
        <w:t>.</w:t>
      </w:r>
      <w:r w:rsidRPr="00293429">
        <w:rPr>
          <w:rFonts w:ascii="Times New Roman" w:hAnsi="Times New Roman"/>
          <w:sz w:val="30"/>
          <w:szCs w:val="30"/>
          <w:lang w:val="en-US"/>
        </w:rPr>
        <w:t>by</w:t>
      </w:r>
      <w:r w:rsidRPr="00293429">
        <w:rPr>
          <w:rFonts w:ascii="Times New Roman" w:hAnsi="Times New Roman"/>
          <w:sz w:val="30"/>
          <w:szCs w:val="30"/>
        </w:rPr>
        <w:t xml:space="preserve">), так и в офисе страховой компании либо пригласить представителя Стравиты. Существенных отличий в подаче заявления в офисе и онлайн нет. При заключении договора страхования онлайн система генерирует заявление, а также договор страхования, подписанный цифровой подписью. Его необходимо воспроизвести на бумажном носителе для последующей передачи работодателю.  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При заключении договора страхования работнику необходимо иметь при себе паспорт, определиться с размером отчислений (от 1 до 10% от </w:t>
      </w:r>
      <w:r w:rsidRPr="00293429">
        <w:rPr>
          <w:rFonts w:ascii="Times New Roman" w:hAnsi="Times New Roman"/>
          <w:sz w:val="30"/>
          <w:szCs w:val="30"/>
        </w:rPr>
        <w:lastRenderedPageBreak/>
        <w:t xml:space="preserve">заработной платы) и сроком ежемесячных выплат по достижении общеустановленного пенсионного возраста (в течение 5 или 10 лет), а также указать информацию о работодателе.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Копию договора о страховании нужно предоставить работодателю. Если договор был заключен в офисе или у представителя страхово</w:t>
      </w:r>
      <w:r>
        <w:rPr>
          <w:rFonts w:ascii="Times New Roman" w:hAnsi="Times New Roman"/>
          <w:sz w:val="30"/>
          <w:szCs w:val="30"/>
        </w:rPr>
        <w:t>го</w:t>
      </w:r>
      <w:r w:rsidRPr="00293429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предприятия</w:t>
      </w:r>
      <w:r w:rsidRPr="00293429">
        <w:rPr>
          <w:rFonts w:ascii="Times New Roman" w:hAnsi="Times New Roman"/>
          <w:sz w:val="30"/>
          <w:szCs w:val="30"/>
        </w:rPr>
        <w:t xml:space="preserve"> «Стравита», также понадобится оригинал. Вместе с договором работодателю подается заявление на удержание страховых взносов из заработной платы и перечислении их в Стравиту. В этом же заявлении гражданин указывает о необходимости предоставления ему социального налогового вычета. 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После этого работодатель обязан принять документ, который написал работник, и начать перечисление взносов </w:t>
      </w:r>
      <w:r w:rsidR="000C41C1">
        <w:rPr>
          <w:rFonts w:ascii="Times New Roman" w:hAnsi="Times New Roman"/>
          <w:sz w:val="30"/>
          <w:szCs w:val="30"/>
        </w:rPr>
        <w:t>в пользу работающего гражданина</w:t>
      </w:r>
      <w:r w:rsidR="000C41C1">
        <w:rPr>
          <w:rFonts w:ascii="Times New Roman" w:hAnsi="Times New Roman"/>
          <w:sz w:val="30"/>
          <w:szCs w:val="30"/>
          <w:lang w:val="ru-RU"/>
        </w:rPr>
        <w:t>,</w:t>
      </w:r>
      <w:r w:rsidRPr="00293429">
        <w:rPr>
          <w:rFonts w:ascii="Times New Roman" w:hAnsi="Times New Roman"/>
          <w:sz w:val="30"/>
          <w:szCs w:val="30"/>
        </w:rPr>
        <w:t xml:space="preserve"> </w:t>
      </w:r>
      <w:r w:rsidR="000C41C1">
        <w:rPr>
          <w:rFonts w:ascii="Times New Roman" w:hAnsi="Times New Roman"/>
          <w:sz w:val="30"/>
          <w:szCs w:val="30"/>
          <w:lang w:val="ru-RU"/>
        </w:rPr>
        <w:t>т</w:t>
      </w:r>
      <w:r w:rsidRPr="00293429">
        <w:rPr>
          <w:rFonts w:ascii="Times New Roman" w:hAnsi="Times New Roman"/>
          <w:sz w:val="30"/>
          <w:szCs w:val="30"/>
        </w:rPr>
        <w:t xml:space="preserve">ем самым начать формировать будущую дополнительную пенсию работника. </w:t>
      </w:r>
    </w:p>
    <w:p w:rsidR="00932B34" w:rsidRDefault="00932B34" w:rsidP="00932B3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Как работает механизм накопления «второй пенсии»</w:t>
      </w:r>
    </w:p>
    <w:p w:rsidR="00D65E8C" w:rsidRDefault="00BC5B73" w:rsidP="00560F61">
      <w:pPr>
        <w:spacing w:after="12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293429">
        <w:rPr>
          <w:rFonts w:ascii="Times New Roman" w:hAnsi="Times New Roman"/>
          <w:sz w:val="30"/>
          <w:szCs w:val="30"/>
        </w:rPr>
        <w:t xml:space="preserve">На именной лицевой счет работника ежемесячно работодателем перечисляется сумма в размере страхового взноса. При этом часть взноса уплачивается за счет средств работника (максимум 10% от заработной платы), а часть за счет средств работодателя (максимум 3%). Например, если выбран тариф 6%, то он делится поровну между работником и работодателем: 3% от заработной платы работника и 3% от работодателя. При выборе работником тарифа от 4 до 10 % от работодателя добавляется 3%. </w:t>
      </w:r>
    </w:p>
    <w:p w:rsidR="00BC5B73" w:rsidRPr="00293429" w:rsidRDefault="00A36567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ru-RU"/>
        </w:rPr>
        <w:t>П</w:t>
      </w:r>
      <w:r w:rsidR="00BC5B73" w:rsidRPr="00293429">
        <w:rPr>
          <w:rFonts w:ascii="Times New Roman" w:hAnsi="Times New Roman"/>
          <w:sz w:val="30"/>
          <w:szCs w:val="30"/>
        </w:rPr>
        <w:t>о письменному заявлению мож</w:t>
      </w:r>
      <w:r>
        <w:rPr>
          <w:rFonts w:ascii="Times New Roman" w:hAnsi="Times New Roman"/>
          <w:sz w:val="30"/>
          <w:szCs w:val="30"/>
          <w:lang w:val="ru-RU"/>
        </w:rPr>
        <w:t>но</w:t>
      </w:r>
      <w:r w:rsidR="00BC5B73" w:rsidRPr="00293429">
        <w:rPr>
          <w:rFonts w:ascii="Times New Roman" w:hAnsi="Times New Roman"/>
          <w:sz w:val="30"/>
          <w:szCs w:val="30"/>
        </w:rPr>
        <w:t xml:space="preserve"> приостановить или возобновить уплату страховых взносов (при этом на уже накопленные средства будет продолжать начисляться доходность), а также один раз в год страхования можно изменить и размер страхового </w:t>
      </w:r>
      <w:r w:rsidR="00BC5B73">
        <w:rPr>
          <w:rFonts w:ascii="Times New Roman" w:hAnsi="Times New Roman"/>
          <w:sz w:val="30"/>
          <w:szCs w:val="30"/>
        </w:rPr>
        <w:t>тарифа</w:t>
      </w:r>
      <w:r w:rsidR="00BC5B73" w:rsidRPr="00293429">
        <w:rPr>
          <w:rFonts w:ascii="Times New Roman" w:hAnsi="Times New Roman"/>
          <w:sz w:val="30"/>
          <w:szCs w:val="30"/>
        </w:rPr>
        <w:t>.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Взносы, которые перечисляются в Стравиту, </w:t>
      </w:r>
      <w:r>
        <w:rPr>
          <w:rFonts w:ascii="Times New Roman" w:hAnsi="Times New Roman"/>
          <w:sz w:val="30"/>
          <w:szCs w:val="30"/>
        </w:rPr>
        <w:t xml:space="preserve">за минусом расходов на ведение дела (в 2024 году 6%), </w:t>
      </w:r>
      <w:r w:rsidRPr="00293429">
        <w:rPr>
          <w:rFonts w:ascii="Times New Roman" w:hAnsi="Times New Roman"/>
          <w:sz w:val="30"/>
          <w:szCs w:val="30"/>
        </w:rPr>
        <w:t xml:space="preserve">накапливаются на именном лицевом счете работника. Далее они инвестируются в установленном законодательством порядке. По достижении пенсионного возраста гражданин начнет получать накопленные денежные средства с гарантированной доходностью равными долями </w:t>
      </w:r>
      <w:r>
        <w:rPr>
          <w:rFonts w:ascii="Times New Roman" w:hAnsi="Times New Roman"/>
          <w:sz w:val="30"/>
          <w:szCs w:val="30"/>
        </w:rPr>
        <w:t xml:space="preserve">ежемесячно </w:t>
      </w:r>
      <w:r w:rsidRPr="00293429">
        <w:rPr>
          <w:rFonts w:ascii="Times New Roman" w:hAnsi="Times New Roman"/>
          <w:sz w:val="30"/>
          <w:szCs w:val="30"/>
        </w:rPr>
        <w:t>в течение срока выплаты, определенного в договоре страхования</w:t>
      </w:r>
      <w:r>
        <w:rPr>
          <w:rFonts w:ascii="Times New Roman" w:hAnsi="Times New Roman"/>
          <w:sz w:val="30"/>
          <w:szCs w:val="30"/>
        </w:rPr>
        <w:t xml:space="preserve"> (5 либо 10 лет)</w:t>
      </w:r>
      <w:r w:rsidRPr="00293429">
        <w:rPr>
          <w:rFonts w:ascii="Times New Roman" w:hAnsi="Times New Roman"/>
          <w:sz w:val="30"/>
          <w:szCs w:val="30"/>
        </w:rPr>
        <w:t>. По Указу доходность устанавливается в размере ставки рефинансирования Национального банка Республики Беларусь, действующей в каждый конкретный период срока страхования</w:t>
      </w:r>
      <w:r>
        <w:rPr>
          <w:rFonts w:ascii="Times New Roman" w:hAnsi="Times New Roman"/>
          <w:sz w:val="30"/>
          <w:szCs w:val="30"/>
        </w:rPr>
        <w:t xml:space="preserve"> (9,5% годовых на 01.06.2024)</w:t>
      </w:r>
      <w:r w:rsidRPr="00293429">
        <w:rPr>
          <w:rFonts w:ascii="Times New Roman" w:hAnsi="Times New Roman"/>
          <w:sz w:val="30"/>
          <w:szCs w:val="30"/>
        </w:rPr>
        <w:t xml:space="preserve">. Если ставка рефинансирования изменяется, то и гарантированная доходность изменяется. Предусмотрен также и бонус: это </w:t>
      </w:r>
      <w:r>
        <w:rPr>
          <w:rFonts w:ascii="Times New Roman" w:hAnsi="Times New Roman"/>
          <w:sz w:val="30"/>
          <w:szCs w:val="30"/>
        </w:rPr>
        <w:lastRenderedPageBreak/>
        <w:t xml:space="preserve">не менее 50% </w:t>
      </w:r>
      <w:r w:rsidRPr="00293429">
        <w:rPr>
          <w:rFonts w:ascii="Times New Roman" w:hAnsi="Times New Roman"/>
          <w:sz w:val="30"/>
          <w:szCs w:val="30"/>
        </w:rPr>
        <w:t>те</w:t>
      </w:r>
      <w:r>
        <w:rPr>
          <w:rFonts w:ascii="Times New Roman" w:hAnsi="Times New Roman"/>
          <w:sz w:val="30"/>
          <w:szCs w:val="30"/>
        </w:rPr>
        <w:t>х</w:t>
      </w:r>
      <w:r w:rsidRPr="00293429">
        <w:rPr>
          <w:rFonts w:ascii="Times New Roman" w:hAnsi="Times New Roman"/>
          <w:sz w:val="30"/>
          <w:szCs w:val="30"/>
        </w:rPr>
        <w:t xml:space="preserve"> средств, которые заработает страховщик сверх гарантированной доходности в результате инвестирования.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Какой предположительно размер накоплений можно сформировать</w:t>
      </w:r>
    </w:p>
    <w:p w:rsidR="00BC5B73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293429">
        <w:rPr>
          <w:rFonts w:ascii="Times New Roman" w:hAnsi="Times New Roman"/>
          <w:sz w:val="30"/>
          <w:szCs w:val="30"/>
        </w:rPr>
        <w:t xml:space="preserve">Помочь в приблизительных вычислениях размера «второй пенсии» может калькулятор дополнительной пенсии, размещенный на сайте Стравиты. Расчет получится примерный, поскольку все зависит от изменяемых показателей – разных значений заработной платы, выбранного работником тарифа, выбранного срока ежемесячных выплат. </w:t>
      </w:r>
    </w:p>
    <w:p w:rsidR="00F7585C" w:rsidRPr="00F7585C" w:rsidRDefault="00F7585C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64997907" wp14:editId="6EC4F096">
            <wp:extent cx="5273232" cy="3950208"/>
            <wp:effectExtent l="19050" t="0" r="361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74" cy="39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А что, если…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Указом предусмотрен механизм наследования, а также можно оформить завещание. Если человек уйдет из жизни, накопленные средства переходят по наследству. В случае наступления инвалидности </w:t>
      </w:r>
      <w:r w:rsidRPr="00293429">
        <w:rPr>
          <w:rFonts w:ascii="Times New Roman" w:hAnsi="Times New Roman"/>
          <w:sz w:val="30"/>
          <w:szCs w:val="30"/>
          <w:lang w:val="en-US"/>
        </w:rPr>
        <w:t>I</w:t>
      </w:r>
      <w:r w:rsidRPr="00293429">
        <w:rPr>
          <w:rFonts w:ascii="Times New Roman" w:hAnsi="Times New Roman"/>
          <w:sz w:val="30"/>
          <w:szCs w:val="30"/>
        </w:rPr>
        <w:t xml:space="preserve"> или </w:t>
      </w:r>
      <w:r w:rsidRPr="00293429">
        <w:rPr>
          <w:rFonts w:ascii="Times New Roman" w:hAnsi="Times New Roman"/>
          <w:sz w:val="30"/>
          <w:szCs w:val="30"/>
          <w:lang w:val="en-US"/>
        </w:rPr>
        <w:t>II</w:t>
      </w:r>
      <w:r w:rsidRPr="00293429">
        <w:rPr>
          <w:rFonts w:ascii="Times New Roman" w:hAnsi="Times New Roman"/>
          <w:sz w:val="30"/>
          <w:szCs w:val="30"/>
        </w:rPr>
        <w:t xml:space="preserve"> группы дополнительная пенсия выплачивается единовременно досрочно.</w:t>
      </w:r>
    </w:p>
    <w:p w:rsidR="00442051" w:rsidRDefault="00442051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Быть в курсе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Через личный кабинет на сайте stravita.by можно отслеживать и размер накоплений. Гражданин может увидеть, сколько накопил сам, сколько отчислил работодатель, какой сформировался размер доходности по данной программе накопительного страхования. </w:t>
      </w:r>
    </w:p>
    <w:p w:rsidR="00442051" w:rsidRDefault="00442051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lastRenderedPageBreak/>
        <w:t>Когда лучше начать формировать дополнительную пенсию?</w:t>
      </w:r>
    </w:p>
    <w:p w:rsidR="00C062E1" w:rsidRDefault="00442051" w:rsidP="00C062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BC5B73" w:rsidRPr="00293429">
        <w:rPr>
          <w:rFonts w:ascii="Times New Roman" w:hAnsi="Times New Roman"/>
          <w:sz w:val="30"/>
          <w:szCs w:val="30"/>
        </w:rPr>
        <w:t xml:space="preserve">Чем раньше вы оформите договор на отчисления, пока работаете, тем больше у вас будет «вторая пенсия» к пенсионному возрасту. </w:t>
      </w:r>
      <w:r w:rsidR="00C062E1">
        <w:rPr>
          <w:rFonts w:ascii="Times New Roman" w:hAnsi="Times New Roman" w:cs="Times New Roman"/>
          <w:sz w:val="30"/>
          <w:szCs w:val="30"/>
          <w:lang w:val="ru-RU"/>
        </w:rPr>
        <w:t xml:space="preserve">Забота о будущей пенсии должна стать привычной для каждого человека. Только в этом случае в старости можно иметь комфортный уровень дохода, позволяющий вести образ жизни, соответствующий личным ожиданиям. 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Офисы продаж и обслуживания Государственного предприятия «Стравита» в Гомельской области: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Гомель, ул. Новополесская, 2-1а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(0232) 33-10-88, 33-03-11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Мозырь, ул. Советская, 120, каб.32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(0236) 23-96-00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Жлобин, ул. Воровского, 34-1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(0233) 49-03-76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Светлогорск, ул. Социалистическая, 43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(0234) 24-87-75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Петриков, ул. Коммунальная, 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(02350) 2-04-55</w:t>
      </w:r>
    </w:p>
    <w:p w:rsidR="00823BC9" w:rsidRDefault="00823BC9" w:rsidP="000A7F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</w:pPr>
    </w:p>
    <w:p w:rsidR="00823BC9" w:rsidRDefault="00823BC9" w:rsidP="00823BC9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823BC9" w:rsidRPr="00DC52DB" w:rsidRDefault="00823BC9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Комитет по труду, занятости </w:t>
      </w:r>
      <w:r w:rsidR="00DC1734"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и </w:t>
      </w:r>
      <w:r w:rsidRPr="00DC52DB">
        <w:rPr>
          <w:rFonts w:ascii="Times New Roman" w:hAnsi="Times New Roman" w:cs="Times New Roman"/>
          <w:sz w:val="20"/>
          <w:szCs w:val="20"/>
          <w:lang w:val="ru-RU"/>
        </w:rPr>
        <w:t>социальной защите</w:t>
      </w:r>
    </w:p>
    <w:p w:rsidR="00503748" w:rsidRPr="00DC52DB" w:rsidRDefault="00823BC9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Гомельского облисполкома</w:t>
      </w:r>
    </w:p>
    <w:p w:rsidR="00823BC9" w:rsidRPr="00DC52DB" w:rsidRDefault="00823BC9" w:rsidP="00DC52DB">
      <w:pPr>
        <w:ind w:left="5103"/>
        <w:rPr>
          <w:rFonts w:ascii="Times New Roman" w:hAnsi="Times New Roman" w:cs="Times New Roman"/>
          <w:sz w:val="20"/>
          <w:szCs w:val="20"/>
          <w:lang w:val="ru-RU"/>
        </w:rPr>
      </w:pPr>
    </w:p>
    <w:p w:rsidR="00DC1734" w:rsidRPr="00DC52DB" w:rsidRDefault="00DC1734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ГП РУП «</w:t>
      </w:r>
      <w:r w:rsidR="00823BC9" w:rsidRPr="00DC52DB">
        <w:rPr>
          <w:rFonts w:ascii="Times New Roman" w:hAnsi="Times New Roman" w:cs="Times New Roman"/>
          <w:sz w:val="20"/>
          <w:szCs w:val="20"/>
          <w:lang w:val="ru-RU"/>
        </w:rPr>
        <w:t>Стравита»</w:t>
      </w:r>
    </w:p>
    <w:p w:rsidR="00823BC9" w:rsidRPr="00823BC9" w:rsidRDefault="00DC1734" w:rsidP="00DC52DB">
      <w:pPr>
        <w:spacing w:after="0" w:line="280" w:lineRule="exact"/>
        <w:ind w:left="5103"/>
        <w:rPr>
          <w:rFonts w:ascii="Times New Roman" w:hAnsi="Times New Roman" w:cs="Times New Roman"/>
          <w:sz w:val="30"/>
          <w:szCs w:val="3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Представительство по г.Гомелю и Гомельской области</w:t>
      </w:r>
    </w:p>
    <w:sectPr w:rsidR="00823BC9" w:rsidRPr="00823BC9" w:rsidSect="008A6C81">
      <w:headerReference w:type="default" r:id="rId10"/>
      <w:footerReference w:type="first" r:id="rId11"/>
      <w:pgSz w:w="12240" w:h="15840"/>
      <w:pgMar w:top="993" w:right="567" w:bottom="851" w:left="1701" w:header="720" w:footer="72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5B7" w:rsidRDefault="008175B7" w:rsidP="002E626D">
      <w:pPr>
        <w:spacing w:after="0" w:line="240" w:lineRule="auto"/>
      </w:pPr>
      <w:r>
        <w:separator/>
      </w:r>
    </w:p>
  </w:endnote>
  <w:endnote w:type="continuationSeparator" w:id="0">
    <w:p w:rsidR="008175B7" w:rsidRDefault="008175B7" w:rsidP="002E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7652632"/>
      <w:docPartObj>
        <w:docPartGallery w:val="Page Numbers (Bottom of Page)"/>
        <w:docPartUnique/>
      </w:docPartObj>
    </w:sdtPr>
    <w:sdtEndPr/>
    <w:sdtContent>
      <w:p w:rsidR="00F5625B" w:rsidRDefault="00F562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F78" w:rsidRPr="00A23F78">
          <w:rPr>
            <w:noProof/>
            <w:lang w:val="ru-RU"/>
          </w:rPr>
          <w:t>1</w:t>
        </w:r>
        <w:r>
          <w:fldChar w:fldCharType="end"/>
        </w:r>
      </w:p>
    </w:sdtContent>
  </w:sdt>
  <w:p w:rsidR="00F5625B" w:rsidRDefault="00F5625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5B7" w:rsidRDefault="008175B7" w:rsidP="002E626D">
      <w:pPr>
        <w:spacing w:after="0" w:line="240" w:lineRule="auto"/>
      </w:pPr>
      <w:r>
        <w:separator/>
      </w:r>
    </w:p>
  </w:footnote>
  <w:footnote w:type="continuationSeparator" w:id="0">
    <w:p w:rsidR="008175B7" w:rsidRDefault="008175B7" w:rsidP="002E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</w:rPr>
      <w:id w:val="17355775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2"/>
        <w:szCs w:val="30"/>
      </w:rPr>
    </w:sdtEndPr>
    <w:sdtContent>
      <w:p w:rsidR="009E65A1" w:rsidRPr="00360F08" w:rsidRDefault="009E65A1" w:rsidP="00360F08">
        <w:pPr>
          <w:pStyle w:val="a6"/>
          <w:jc w:val="center"/>
          <w:rPr>
            <w:rFonts w:ascii="Times New Roman" w:hAnsi="Times New Roman" w:cs="Times New Roman"/>
            <w:szCs w:val="30"/>
          </w:rPr>
        </w:pPr>
        <w:r w:rsidRPr="00360F08">
          <w:rPr>
            <w:rFonts w:ascii="Times New Roman" w:hAnsi="Times New Roman" w:cs="Times New Roman"/>
            <w:szCs w:val="30"/>
          </w:rPr>
          <w:fldChar w:fldCharType="begin"/>
        </w:r>
        <w:r w:rsidRPr="00360F08">
          <w:rPr>
            <w:rFonts w:ascii="Times New Roman" w:hAnsi="Times New Roman" w:cs="Times New Roman"/>
            <w:szCs w:val="30"/>
          </w:rPr>
          <w:instrText>PAGE   \* MERGEFORMAT</w:instrText>
        </w:r>
        <w:r w:rsidRPr="00360F08">
          <w:rPr>
            <w:rFonts w:ascii="Times New Roman" w:hAnsi="Times New Roman" w:cs="Times New Roman"/>
            <w:szCs w:val="30"/>
          </w:rPr>
          <w:fldChar w:fldCharType="separate"/>
        </w:r>
        <w:r w:rsidR="00A23F78">
          <w:rPr>
            <w:rFonts w:ascii="Times New Roman" w:hAnsi="Times New Roman" w:cs="Times New Roman"/>
            <w:noProof/>
            <w:szCs w:val="30"/>
          </w:rPr>
          <w:t>2</w:t>
        </w:r>
        <w:r w:rsidRPr="00360F08">
          <w:rPr>
            <w:rFonts w:ascii="Times New Roman" w:hAnsi="Times New Roman" w:cs="Times New Roman"/>
            <w:szCs w:val="3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F7BE8"/>
    <w:multiLevelType w:val="multilevel"/>
    <w:tmpl w:val="A95E1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C45A6D"/>
    <w:multiLevelType w:val="hybridMultilevel"/>
    <w:tmpl w:val="93EC422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7F8"/>
    <w:rsid w:val="00007BEE"/>
    <w:rsid w:val="00012648"/>
    <w:rsid w:val="00022357"/>
    <w:rsid w:val="0004309F"/>
    <w:rsid w:val="00045584"/>
    <w:rsid w:val="0005242F"/>
    <w:rsid w:val="00053019"/>
    <w:rsid w:val="000620F9"/>
    <w:rsid w:val="000658A4"/>
    <w:rsid w:val="00071DD0"/>
    <w:rsid w:val="00077F0E"/>
    <w:rsid w:val="000807F7"/>
    <w:rsid w:val="0009036E"/>
    <w:rsid w:val="00092BF5"/>
    <w:rsid w:val="000A4FAC"/>
    <w:rsid w:val="000A7FA4"/>
    <w:rsid w:val="000C12FE"/>
    <w:rsid w:val="000C2A74"/>
    <w:rsid w:val="000C41C1"/>
    <w:rsid w:val="000D1E74"/>
    <w:rsid w:val="000D559D"/>
    <w:rsid w:val="0010055A"/>
    <w:rsid w:val="001065EC"/>
    <w:rsid w:val="00110930"/>
    <w:rsid w:val="0011176B"/>
    <w:rsid w:val="001122F2"/>
    <w:rsid w:val="00113DC2"/>
    <w:rsid w:val="00115757"/>
    <w:rsid w:val="0012514C"/>
    <w:rsid w:val="00137071"/>
    <w:rsid w:val="0014191C"/>
    <w:rsid w:val="00143A0B"/>
    <w:rsid w:val="00162B4E"/>
    <w:rsid w:val="00170C1A"/>
    <w:rsid w:val="00181EE6"/>
    <w:rsid w:val="001852BF"/>
    <w:rsid w:val="0018589C"/>
    <w:rsid w:val="00197A41"/>
    <w:rsid w:val="001A0285"/>
    <w:rsid w:val="001B4AD2"/>
    <w:rsid w:val="001B650E"/>
    <w:rsid w:val="001B6E0B"/>
    <w:rsid w:val="001C2C63"/>
    <w:rsid w:val="001C5B67"/>
    <w:rsid w:val="001C64BA"/>
    <w:rsid w:val="001D6EBE"/>
    <w:rsid w:val="001F1151"/>
    <w:rsid w:val="0020426A"/>
    <w:rsid w:val="00205279"/>
    <w:rsid w:val="00205BC2"/>
    <w:rsid w:val="00214339"/>
    <w:rsid w:val="002260AF"/>
    <w:rsid w:val="002471EB"/>
    <w:rsid w:val="002746AD"/>
    <w:rsid w:val="00275037"/>
    <w:rsid w:val="0027548D"/>
    <w:rsid w:val="00280DD6"/>
    <w:rsid w:val="002846C7"/>
    <w:rsid w:val="00291D7B"/>
    <w:rsid w:val="00297FAB"/>
    <w:rsid w:val="002B077D"/>
    <w:rsid w:val="002B44C3"/>
    <w:rsid w:val="002C1FAA"/>
    <w:rsid w:val="002C5D8B"/>
    <w:rsid w:val="002C727F"/>
    <w:rsid w:val="002E626D"/>
    <w:rsid w:val="002F37A0"/>
    <w:rsid w:val="00310DF6"/>
    <w:rsid w:val="003317F8"/>
    <w:rsid w:val="003339A4"/>
    <w:rsid w:val="003344E6"/>
    <w:rsid w:val="00334814"/>
    <w:rsid w:val="00343AFD"/>
    <w:rsid w:val="003526A6"/>
    <w:rsid w:val="00360F08"/>
    <w:rsid w:val="00361498"/>
    <w:rsid w:val="00371611"/>
    <w:rsid w:val="003743D7"/>
    <w:rsid w:val="003A7F18"/>
    <w:rsid w:val="003C30D3"/>
    <w:rsid w:val="003D53D9"/>
    <w:rsid w:val="003E53AA"/>
    <w:rsid w:val="003F0363"/>
    <w:rsid w:val="003F5CF7"/>
    <w:rsid w:val="00401A18"/>
    <w:rsid w:val="004029F9"/>
    <w:rsid w:val="0043536C"/>
    <w:rsid w:val="00442051"/>
    <w:rsid w:val="00442CF4"/>
    <w:rsid w:val="00443474"/>
    <w:rsid w:val="00451D34"/>
    <w:rsid w:val="00453C57"/>
    <w:rsid w:val="00457C16"/>
    <w:rsid w:val="0046656A"/>
    <w:rsid w:val="004670D4"/>
    <w:rsid w:val="00471A5A"/>
    <w:rsid w:val="00472881"/>
    <w:rsid w:val="004825BB"/>
    <w:rsid w:val="004A691D"/>
    <w:rsid w:val="004B7110"/>
    <w:rsid w:val="004C5AD3"/>
    <w:rsid w:val="004D18CC"/>
    <w:rsid w:val="004E1A6A"/>
    <w:rsid w:val="004F53AA"/>
    <w:rsid w:val="00503748"/>
    <w:rsid w:val="00513890"/>
    <w:rsid w:val="00515508"/>
    <w:rsid w:val="00515AE3"/>
    <w:rsid w:val="00522117"/>
    <w:rsid w:val="00540D75"/>
    <w:rsid w:val="00543252"/>
    <w:rsid w:val="00543453"/>
    <w:rsid w:val="00551216"/>
    <w:rsid w:val="00557007"/>
    <w:rsid w:val="00560F61"/>
    <w:rsid w:val="00561734"/>
    <w:rsid w:val="00571947"/>
    <w:rsid w:val="005725A7"/>
    <w:rsid w:val="00595387"/>
    <w:rsid w:val="00597B35"/>
    <w:rsid w:val="005A5D88"/>
    <w:rsid w:val="005B686C"/>
    <w:rsid w:val="005C2484"/>
    <w:rsid w:val="005C50FA"/>
    <w:rsid w:val="005D074B"/>
    <w:rsid w:val="005F1D6D"/>
    <w:rsid w:val="005F3BF3"/>
    <w:rsid w:val="00604152"/>
    <w:rsid w:val="0062024F"/>
    <w:rsid w:val="006235E4"/>
    <w:rsid w:val="00625560"/>
    <w:rsid w:val="006277D7"/>
    <w:rsid w:val="006539C3"/>
    <w:rsid w:val="006576E3"/>
    <w:rsid w:val="00657AA0"/>
    <w:rsid w:val="006638EB"/>
    <w:rsid w:val="0067562C"/>
    <w:rsid w:val="00676B4C"/>
    <w:rsid w:val="00677974"/>
    <w:rsid w:val="006873C6"/>
    <w:rsid w:val="006929DC"/>
    <w:rsid w:val="006971CC"/>
    <w:rsid w:val="006A1234"/>
    <w:rsid w:val="006A6003"/>
    <w:rsid w:val="006B47EC"/>
    <w:rsid w:val="006E13BE"/>
    <w:rsid w:val="006F52E0"/>
    <w:rsid w:val="006F5962"/>
    <w:rsid w:val="006F7D0E"/>
    <w:rsid w:val="00702C3C"/>
    <w:rsid w:val="00722B46"/>
    <w:rsid w:val="00726D8D"/>
    <w:rsid w:val="00731B0D"/>
    <w:rsid w:val="007345DE"/>
    <w:rsid w:val="00735183"/>
    <w:rsid w:val="00737D7D"/>
    <w:rsid w:val="00753D80"/>
    <w:rsid w:val="007667A3"/>
    <w:rsid w:val="0078171F"/>
    <w:rsid w:val="00793070"/>
    <w:rsid w:val="007B1E5F"/>
    <w:rsid w:val="007C1139"/>
    <w:rsid w:val="007D3E30"/>
    <w:rsid w:val="007E2D0C"/>
    <w:rsid w:val="007F59F5"/>
    <w:rsid w:val="007F7942"/>
    <w:rsid w:val="00800859"/>
    <w:rsid w:val="00803937"/>
    <w:rsid w:val="008045A4"/>
    <w:rsid w:val="00817560"/>
    <w:rsid w:val="008175B7"/>
    <w:rsid w:val="00823BC9"/>
    <w:rsid w:val="0083664B"/>
    <w:rsid w:val="008375C0"/>
    <w:rsid w:val="008409A8"/>
    <w:rsid w:val="008502FD"/>
    <w:rsid w:val="00851E89"/>
    <w:rsid w:val="00854C7A"/>
    <w:rsid w:val="008658C9"/>
    <w:rsid w:val="008735E6"/>
    <w:rsid w:val="00874438"/>
    <w:rsid w:val="00890D0E"/>
    <w:rsid w:val="008935B2"/>
    <w:rsid w:val="0089634F"/>
    <w:rsid w:val="008A6C81"/>
    <w:rsid w:val="008C1EF9"/>
    <w:rsid w:val="008C4F34"/>
    <w:rsid w:val="008C5CE5"/>
    <w:rsid w:val="008D64DA"/>
    <w:rsid w:val="008E0130"/>
    <w:rsid w:val="008F1537"/>
    <w:rsid w:val="00901CF8"/>
    <w:rsid w:val="00901FEC"/>
    <w:rsid w:val="00907F84"/>
    <w:rsid w:val="00917CD2"/>
    <w:rsid w:val="009240D3"/>
    <w:rsid w:val="00932B34"/>
    <w:rsid w:val="00932D11"/>
    <w:rsid w:val="00942651"/>
    <w:rsid w:val="00976D60"/>
    <w:rsid w:val="00981DDB"/>
    <w:rsid w:val="009844E4"/>
    <w:rsid w:val="009A7C1C"/>
    <w:rsid w:val="009B685C"/>
    <w:rsid w:val="009B6CAB"/>
    <w:rsid w:val="009D6DD2"/>
    <w:rsid w:val="009E65A1"/>
    <w:rsid w:val="009F7111"/>
    <w:rsid w:val="009F735F"/>
    <w:rsid w:val="00A00219"/>
    <w:rsid w:val="00A02D48"/>
    <w:rsid w:val="00A0594A"/>
    <w:rsid w:val="00A07A56"/>
    <w:rsid w:val="00A106A0"/>
    <w:rsid w:val="00A14CA9"/>
    <w:rsid w:val="00A21916"/>
    <w:rsid w:val="00A23F78"/>
    <w:rsid w:val="00A319EC"/>
    <w:rsid w:val="00A31D21"/>
    <w:rsid w:val="00A36567"/>
    <w:rsid w:val="00A53649"/>
    <w:rsid w:val="00A63975"/>
    <w:rsid w:val="00A80AD5"/>
    <w:rsid w:val="00A81B9C"/>
    <w:rsid w:val="00A962E0"/>
    <w:rsid w:val="00A97B9E"/>
    <w:rsid w:val="00AA2576"/>
    <w:rsid w:val="00AA4086"/>
    <w:rsid w:val="00AA6B65"/>
    <w:rsid w:val="00AB5458"/>
    <w:rsid w:val="00AC2924"/>
    <w:rsid w:val="00AC397F"/>
    <w:rsid w:val="00AC3A1E"/>
    <w:rsid w:val="00AC3B21"/>
    <w:rsid w:val="00AC3DE3"/>
    <w:rsid w:val="00AD37A0"/>
    <w:rsid w:val="00AF0000"/>
    <w:rsid w:val="00AF005E"/>
    <w:rsid w:val="00AF0507"/>
    <w:rsid w:val="00B04793"/>
    <w:rsid w:val="00B07A57"/>
    <w:rsid w:val="00B20C9D"/>
    <w:rsid w:val="00B230A5"/>
    <w:rsid w:val="00B23C54"/>
    <w:rsid w:val="00B25373"/>
    <w:rsid w:val="00B3020B"/>
    <w:rsid w:val="00B30996"/>
    <w:rsid w:val="00B4666A"/>
    <w:rsid w:val="00B52A36"/>
    <w:rsid w:val="00B52E67"/>
    <w:rsid w:val="00B53DE1"/>
    <w:rsid w:val="00B642D3"/>
    <w:rsid w:val="00B64343"/>
    <w:rsid w:val="00B7674D"/>
    <w:rsid w:val="00B87252"/>
    <w:rsid w:val="00B87FEF"/>
    <w:rsid w:val="00B90C9F"/>
    <w:rsid w:val="00BA144B"/>
    <w:rsid w:val="00BA23B9"/>
    <w:rsid w:val="00BA564C"/>
    <w:rsid w:val="00BC1401"/>
    <w:rsid w:val="00BC5B73"/>
    <w:rsid w:val="00BD23A4"/>
    <w:rsid w:val="00BF2FB6"/>
    <w:rsid w:val="00C062E1"/>
    <w:rsid w:val="00C3048D"/>
    <w:rsid w:val="00C3172A"/>
    <w:rsid w:val="00C348EC"/>
    <w:rsid w:val="00C44C20"/>
    <w:rsid w:val="00C503DA"/>
    <w:rsid w:val="00C52939"/>
    <w:rsid w:val="00C57CA9"/>
    <w:rsid w:val="00C66640"/>
    <w:rsid w:val="00C6782A"/>
    <w:rsid w:val="00C718F2"/>
    <w:rsid w:val="00C854F8"/>
    <w:rsid w:val="00CA05BF"/>
    <w:rsid w:val="00CA0759"/>
    <w:rsid w:val="00CB1548"/>
    <w:rsid w:val="00CC023E"/>
    <w:rsid w:val="00CC273C"/>
    <w:rsid w:val="00CD6340"/>
    <w:rsid w:val="00CD6A8D"/>
    <w:rsid w:val="00CE6484"/>
    <w:rsid w:val="00CE7935"/>
    <w:rsid w:val="00CF4527"/>
    <w:rsid w:val="00CF5E06"/>
    <w:rsid w:val="00D20CC6"/>
    <w:rsid w:val="00D315E1"/>
    <w:rsid w:val="00D32C40"/>
    <w:rsid w:val="00D332F1"/>
    <w:rsid w:val="00D35C18"/>
    <w:rsid w:val="00D363D1"/>
    <w:rsid w:val="00D42F7C"/>
    <w:rsid w:val="00D5080B"/>
    <w:rsid w:val="00D51070"/>
    <w:rsid w:val="00D64EEC"/>
    <w:rsid w:val="00D65E8C"/>
    <w:rsid w:val="00D750E6"/>
    <w:rsid w:val="00D76060"/>
    <w:rsid w:val="00D85A29"/>
    <w:rsid w:val="00D87BFB"/>
    <w:rsid w:val="00D90256"/>
    <w:rsid w:val="00D918C2"/>
    <w:rsid w:val="00D92FBB"/>
    <w:rsid w:val="00D973B0"/>
    <w:rsid w:val="00DA2981"/>
    <w:rsid w:val="00DB3989"/>
    <w:rsid w:val="00DB3E65"/>
    <w:rsid w:val="00DC1734"/>
    <w:rsid w:val="00DC1F57"/>
    <w:rsid w:val="00DC2357"/>
    <w:rsid w:val="00DC52DB"/>
    <w:rsid w:val="00DE3AE1"/>
    <w:rsid w:val="00DE465A"/>
    <w:rsid w:val="00DE7A17"/>
    <w:rsid w:val="00DF0DAF"/>
    <w:rsid w:val="00DF2A2F"/>
    <w:rsid w:val="00E02F43"/>
    <w:rsid w:val="00E0399C"/>
    <w:rsid w:val="00E060E7"/>
    <w:rsid w:val="00E13332"/>
    <w:rsid w:val="00E256F2"/>
    <w:rsid w:val="00E36FF6"/>
    <w:rsid w:val="00E4231B"/>
    <w:rsid w:val="00E54FBA"/>
    <w:rsid w:val="00E55AD3"/>
    <w:rsid w:val="00E5676B"/>
    <w:rsid w:val="00E569F9"/>
    <w:rsid w:val="00E56D50"/>
    <w:rsid w:val="00E61F98"/>
    <w:rsid w:val="00E65FA2"/>
    <w:rsid w:val="00E860F7"/>
    <w:rsid w:val="00E868FC"/>
    <w:rsid w:val="00E90E05"/>
    <w:rsid w:val="00E97952"/>
    <w:rsid w:val="00EA670A"/>
    <w:rsid w:val="00EB6C7A"/>
    <w:rsid w:val="00EB735E"/>
    <w:rsid w:val="00ED616A"/>
    <w:rsid w:val="00ED72FF"/>
    <w:rsid w:val="00EE008E"/>
    <w:rsid w:val="00EE15BA"/>
    <w:rsid w:val="00EE314E"/>
    <w:rsid w:val="00EE318C"/>
    <w:rsid w:val="00F00209"/>
    <w:rsid w:val="00F069A0"/>
    <w:rsid w:val="00F07144"/>
    <w:rsid w:val="00F11DFA"/>
    <w:rsid w:val="00F13766"/>
    <w:rsid w:val="00F14E3C"/>
    <w:rsid w:val="00F1659E"/>
    <w:rsid w:val="00F167E6"/>
    <w:rsid w:val="00F22596"/>
    <w:rsid w:val="00F22EC7"/>
    <w:rsid w:val="00F2664C"/>
    <w:rsid w:val="00F36A5B"/>
    <w:rsid w:val="00F543D4"/>
    <w:rsid w:val="00F5625B"/>
    <w:rsid w:val="00F572B0"/>
    <w:rsid w:val="00F650A0"/>
    <w:rsid w:val="00F663E7"/>
    <w:rsid w:val="00F741F0"/>
    <w:rsid w:val="00F7585C"/>
    <w:rsid w:val="00F87FED"/>
    <w:rsid w:val="00FA47B4"/>
    <w:rsid w:val="00FA6497"/>
    <w:rsid w:val="00FB0755"/>
    <w:rsid w:val="00FB6B8C"/>
    <w:rsid w:val="00FC2C57"/>
    <w:rsid w:val="00FE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219DFD-4012-4BBE-A7C7-D2DF00910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7F8"/>
    <w:pPr>
      <w:spacing w:after="160" w:line="259" w:lineRule="auto"/>
    </w:pPr>
    <w:rPr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59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D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AD37A0"/>
    <w:rPr>
      <w:b/>
      <w:bCs/>
    </w:rPr>
  </w:style>
  <w:style w:type="paragraph" w:styleId="a6">
    <w:name w:val="header"/>
    <w:basedOn w:val="a"/>
    <w:link w:val="a7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626D"/>
    <w:rPr>
      <w:lang w:val="x-none"/>
    </w:rPr>
  </w:style>
  <w:style w:type="paragraph" w:styleId="a8">
    <w:name w:val="footer"/>
    <w:basedOn w:val="a"/>
    <w:link w:val="a9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626D"/>
    <w:rPr>
      <w:lang w:val="x-none"/>
    </w:rPr>
  </w:style>
  <w:style w:type="paragraph" w:styleId="aa">
    <w:name w:val="List Paragraph"/>
    <w:basedOn w:val="a"/>
    <w:uiPriority w:val="99"/>
    <w:qFormat/>
    <w:rsid w:val="00BC1401"/>
    <w:pPr>
      <w:spacing w:after="0" w:line="280" w:lineRule="exact"/>
      <w:ind w:left="720" w:right="62" w:firstLine="851"/>
      <w:contextualSpacing/>
      <w:jc w:val="both"/>
    </w:pPr>
    <w:rPr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5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43D4"/>
    <w:rPr>
      <w:rFonts w:ascii="Tahoma" w:hAnsi="Tahoma" w:cs="Tahoma"/>
      <w:sz w:val="16"/>
      <w:szCs w:val="16"/>
      <w:lang w:val="x-none"/>
    </w:rPr>
  </w:style>
  <w:style w:type="paragraph" w:customStyle="1" w:styleId="1">
    <w:name w:val="Обычный1"/>
    <w:basedOn w:val="a"/>
    <w:rsid w:val="008502FD"/>
    <w:pPr>
      <w:snapToGrid w:val="0"/>
      <w:spacing w:after="0" w:line="252" w:lineRule="auto"/>
      <w:ind w:firstLine="700"/>
    </w:pPr>
    <w:rPr>
      <w:rFonts w:ascii="Times New Roman" w:hAnsi="Times New Roman" w:cs="Times New Roman"/>
      <w:lang w:val="ru-RU" w:eastAsia="ru-RU"/>
    </w:rPr>
  </w:style>
  <w:style w:type="table" w:styleId="ad">
    <w:name w:val="Table Grid"/>
    <w:basedOn w:val="a1"/>
    <w:uiPriority w:val="59"/>
    <w:rsid w:val="00E56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5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2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66C2AB6-11A8-4D4A-A085-2A4AAF240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Самодумская Александра Витальевна</dc:creator>
  <cp:lastModifiedBy>user</cp:lastModifiedBy>
  <cp:revision>2</cp:revision>
  <cp:lastPrinted>2021-10-11T05:44:00Z</cp:lastPrinted>
  <dcterms:created xsi:type="dcterms:W3CDTF">2024-07-15T11:59:00Z</dcterms:created>
  <dcterms:modified xsi:type="dcterms:W3CDTF">2024-07-15T11:59:00Z</dcterms:modified>
</cp:coreProperties>
</file>